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CF678" w14:textId="01576357" w:rsidR="42E185E0" w:rsidRPr="00B811F7" w:rsidRDefault="42E185E0" w:rsidP="5BCD8979">
      <w:pPr>
        <w:rPr>
          <w:rFonts w:ascii="Gotham" w:eastAsia="Segoe UI" w:hAnsi="Gotham" w:cs="Segoe UI"/>
          <w:color w:val="000000" w:themeColor="text1"/>
          <w:sz w:val="20"/>
          <w:szCs w:val="20"/>
          <w:lang w:val="en-GB"/>
        </w:rPr>
      </w:pPr>
    </w:p>
    <w:p w14:paraId="55F94EB7" w14:textId="580711AE" w:rsidR="38E3CCFF" w:rsidRPr="00B811F7" w:rsidRDefault="38E3CCFF" w:rsidP="27548EB0">
      <w:pPr>
        <w:rPr>
          <w:rFonts w:ascii="Gotham" w:eastAsia="Arial" w:hAnsi="Gotham" w:cs="Arial"/>
          <w:color w:val="000000" w:themeColor="text1"/>
          <w:sz w:val="20"/>
          <w:szCs w:val="20"/>
          <w:lang w:val="en-GB"/>
        </w:rPr>
      </w:pPr>
      <w:r w:rsidRPr="00B811F7">
        <w:rPr>
          <w:rFonts w:ascii="Gotham" w:hAnsi="Gotham"/>
          <w:noProof/>
        </w:rPr>
        <w:drawing>
          <wp:inline distT="0" distB="0" distL="0" distR="0" wp14:anchorId="7840A1CF" wp14:editId="462560A6">
            <wp:extent cx="5838824" cy="47625"/>
            <wp:effectExtent l="0" t="0" r="0" b="0"/>
            <wp:docPr id="1673772783" name="Picture 1673772783" descr="Shape">
              <a:extLst xmlns:a="http://schemas.openxmlformats.org/drawingml/2006/main">
                <a:ext uri="{FF2B5EF4-FFF2-40B4-BE49-F238E27FC236}">
                  <a16:creationId xmlns:a16="http://schemas.microsoft.com/office/drawing/2014/main" id="{40027050-DF07-4E97-A3FB-CE9E60DA47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838824" cy="47625"/>
                    </a:xfrm>
                    <a:prstGeom prst="rect">
                      <a:avLst/>
                    </a:prstGeom>
                  </pic:spPr>
                </pic:pic>
              </a:graphicData>
            </a:graphic>
          </wp:inline>
        </w:drawing>
      </w:r>
    </w:p>
    <w:p w14:paraId="45252EF0" w14:textId="70CE9824" w:rsidR="38E3CCFF" w:rsidRPr="00B811F7" w:rsidRDefault="38E3CCFF" w:rsidP="27548EB0">
      <w:pPr>
        <w:pStyle w:val="Heading1"/>
        <w:spacing w:before="240" w:after="0"/>
        <w:rPr>
          <w:rFonts w:ascii="Gotham" w:eastAsia="Arial" w:hAnsi="Gotham" w:cs="Arial"/>
          <w:color w:val="005A77"/>
          <w:sz w:val="32"/>
          <w:szCs w:val="32"/>
          <w:lang w:val="en-GB"/>
        </w:rPr>
      </w:pPr>
      <w:r w:rsidRPr="00B811F7">
        <w:rPr>
          <w:rFonts w:ascii="Gotham" w:eastAsia="Arial" w:hAnsi="Gotham" w:cs="Arial"/>
          <w:color w:val="005A77"/>
          <w:sz w:val="32"/>
          <w:szCs w:val="32"/>
          <w:lang w:val="en-GB"/>
        </w:rPr>
        <w:t>Press release</w:t>
      </w:r>
    </w:p>
    <w:tbl>
      <w:tblPr>
        <w:tblStyle w:val="TableGrid"/>
        <w:tblW w:w="0" w:type="auto"/>
        <w:tblInd w:w="55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80"/>
        <w:gridCol w:w="6765"/>
      </w:tblGrid>
      <w:tr w:rsidR="27548EB0" w:rsidRPr="00B811F7" w14:paraId="782BFA9C" w14:textId="77777777" w:rsidTr="52C60A7D">
        <w:trPr>
          <w:trHeight w:val="300"/>
        </w:trPr>
        <w:tc>
          <w:tcPr>
            <w:tcW w:w="2280" w:type="dxa"/>
            <w:tcBorders>
              <w:top w:val="nil"/>
              <w:left w:val="nil"/>
              <w:bottom w:val="nil"/>
              <w:right w:val="nil"/>
            </w:tcBorders>
            <w:tcMar>
              <w:left w:w="105" w:type="dxa"/>
              <w:right w:w="105" w:type="dxa"/>
            </w:tcMar>
          </w:tcPr>
          <w:p w14:paraId="017EEF66" w14:textId="45F3240A" w:rsidR="27548EB0" w:rsidRPr="00B811F7" w:rsidRDefault="27548EB0" w:rsidP="27548EB0">
            <w:pPr>
              <w:rPr>
                <w:rFonts w:ascii="Gotham" w:eastAsia="Arial" w:hAnsi="Gotham" w:cs="Arial"/>
                <w:sz w:val="20"/>
                <w:szCs w:val="20"/>
              </w:rPr>
            </w:pPr>
            <w:r w:rsidRPr="00B811F7">
              <w:rPr>
                <w:rFonts w:ascii="Gotham" w:eastAsia="Arial" w:hAnsi="Gotham" w:cs="Arial"/>
                <w:b/>
                <w:bCs/>
                <w:sz w:val="20"/>
                <w:szCs w:val="20"/>
                <w:lang w:val="en-GB"/>
              </w:rPr>
              <w:t>Date</w:t>
            </w:r>
          </w:p>
        </w:tc>
        <w:tc>
          <w:tcPr>
            <w:tcW w:w="6765" w:type="dxa"/>
            <w:tcBorders>
              <w:top w:val="nil"/>
              <w:left w:val="nil"/>
              <w:bottom w:val="nil"/>
              <w:right w:val="nil"/>
            </w:tcBorders>
            <w:tcMar>
              <w:left w:w="105" w:type="dxa"/>
              <w:right w:w="105" w:type="dxa"/>
            </w:tcMar>
          </w:tcPr>
          <w:p w14:paraId="6426D461" w14:textId="6D86C7C9" w:rsidR="18F553D9" w:rsidRPr="00B811F7" w:rsidRDefault="5743C7A6" w:rsidP="27548EB0">
            <w:pPr>
              <w:rPr>
                <w:rFonts w:ascii="Gotham" w:eastAsia="Arial" w:hAnsi="Gotham" w:cs="Arial"/>
                <w:sz w:val="20"/>
                <w:szCs w:val="20"/>
                <w:lang w:val="en-GB"/>
              </w:rPr>
            </w:pPr>
            <w:r w:rsidRPr="52C60A7D">
              <w:rPr>
                <w:rFonts w:ascii="Gotham" w:eastAsia="Arial" w:hAnsi="Gotham" w:cs="Arial"/>
                <w:sz w:val="20"/>
                <w:szCs w:val="20"/>
                <w:lang w:val="en-GB"/>
              </w:rPr>
              <w:t>24</w:t>
            </w:r>
            <w:r w:rsidR="74375726" w:rsidRPr="52C60A7D">
              <w:rPr>
                <w:rFonts w:ascii="Gotham" w:eastAsia="Arial" w:hAnsi="Gotham" w:cs="Arial"/>
                <w:sz w:val="20"/>
                <w:szCs w:val="20"/>
                <w:lang w:val="en-GB"/>
              </w:rPr>
              <w:t xml:space="preserve"> </w:t>
            </w:r>
            <w:r w:rsidR="004C4C6A" w:rsidRPr="52C60A7D">
              <w:rPr>
                <w:rFonts w:ascii="Gotham" w:eastAsia="Arial" w:hAnsi="Gotham" w:cs="Arial"/>
                <w:sz w:val="20"/>
                <w:szCs w:val="20"/>
                <w:lang w:val="en-GB"/>
              </w:rPr>
              <w:t>November</w:t>
            </w:r>
            <w:r w:rsidR="64B03A10" w:rsidRPr="52C60A7D">
              <w:rPr>
                <w:rFonts w:ascii="Gotham" w:eastAsia="Arial" w:hAnsi="Gotham" w:cs="Arial"/>
                <w:sz w:val="20"/>
                <w:szCs w:val="20"/>
                <w:lang w:val="en-GB"/>
              </w:rPr>
              <w:t xml:space="preserve"> </w:t>
            </w:r>
            <w:r w:rsidR="07FB9E92" w:rsidRPr="52C60A7D">
              <w:rPr>
                <w:rFonts w:ascii="Gotham" w:eastAsia="Arial" w:hAnsi="Gotham" w:cs="Arial"/>
                <w:sz w:val="20"/>
                <w:szCs w:val="20"/>
                <w:lang w:val="en-GB"/>
              </w:rPr>
              <w:t>202</w:t>
            </w:r>
            <w:r w:rsidR="00214502" w:rsidRPr="52C60A7D">
              <w:rPr>
                <w:rFonts w:ascii="Gotham" w:eastAsia="Arial" w:hAnsi="Gotham" w:cs="Arial"/>
                <w:sz w:val="20"/>
                <w:szCs w:val="20"/>
                <w:lang w:val="en-GB"/>
              </w:rPr>
              <w:t>5</w:t>
            </w:r>
          </w:p>
        </w:tc>
      </w:tr>
      <w:tr w:rsidR="27548EB0" w:rsidRPr="00B811F7" w14:paraId="41CC9AA6" w14:textId="77777777" w:rsidTr="52C60A7D">
        <w:trPr>
          <w:trHeight w:val="300"/>
        </w:trPr>
        <w:tc>
          <w:tcPr>
            <w:tcW w:w="2280" w:type="dxa"/>
            <w:tcBorders>
              <w:top w:val="nil"/>
              <w:left w:val="nil"/>
              <w:bottom w:val="nil"/>
              <w:right w:val="nil"/>
            </w:tcBorders>
            <w:tcMar>
              <w:left w:w="105" w:type="dxa"/>
              <w:right w:w="105" w:type="dxa"/>
            </w:tcMar>
          </w:tcPr>
          <w:p w14:paraId="65A8750F" w14:textId="4F7F3E12" w:rsidR="27548EB0" w:rsidRPr="00B811F7" w:rsidRDefault="27548EB0" w:rsidP="27548EB0">
            <w:pPr>
              <w:rPr>
                <w:rFonts w:ascii="Gotham" w:eastAsia="Arial" w:hAnsi="Gotham" w:cs="Arial"/>
                <w:sz w:val="20"/>
                <w:szCs w:val="20"/>
              </w:rPr>
            </w:pPr>
            <w:r w:rsidRPr="00B811F7">
              <w:rPr>
                <w:rFonts w:ascii="Gotham" w:eastAsia="Arial" w:hAnsi="Gotham" w:cs="Arial"/>
                <w:b/>
                <w:bCs/>
                <w:sz w:val="20"/>
                <w:szCs w:val="20"/>
                <w:lang w:val="en-GB"/>
              </w:rPr>
              <w:t>Contact</w:t>
            </w:r>
          </w:p>
        </w:tc>
        <w:tc>
          <w:tcPr>
            <w:tcW w:w="6765" w:type="dxa"/>
            <w:tcBorders>
              <w:top w:val="nil"/>
              <w:left w:val="nil"/>
              <w:bottom w:val="nil"/>
              <w:right w:val="nil"/>
            </w:tcBorders>
            <w:tcMar>
              <w:left w:w="105" w:type="dxa"/>
              <w:right w:w="105" w:type="dxa"/>
            </w:tcMar>
          </w:tcPr>
          <w:p w14:paraId="4FCAF6AF" w14:textId="26078097" w:rsidR="27548EB0" w:rsidRPr="00B811F7" w:rsidRDefault="003F55C7" w:rsidP="27548EB0">
            <w:pPr>
              <w:spacing w:line="259" w:lineRule="auto"/>
              <w:rPr>
                <w:rFonts w:ascii="Gotham" w:eastAsia="Arial" w:hAnsi="Gotham" w:cs="Arial"/>
                <w:sz w:val="20"/>
                <w:szCs w:val="20"/>
                <w:lang w:val="pt-BR"/>
              </w:rPr>
            </w:pPr>
            <w:r w:rsidRPr="00B811F7">
              <w:rPr>
                <w:rFonts w:ascii="Gotham" w:eastAsia="Arial" w:hAnsi="Gotham" w:cs="Arial"/>
                <w:sz w:val="20"/>
                <w:szCs w:val="20"/>
                <w:lang w:val="pt-BR"/>
              </w:rPr>
              <w:t>Callahan Hager</w:t>
            </w:r>
          </w:p>
          <w:p w14:paraId="494329CB" w14:textId="1133EC12" w:rsidR="27548EB0" w:rsidRPr="00B811F7" w:rsidRDefault="003F55C7" w:rsidP="27548EB0">
            <w:pPr>
              <w:rPr>
                <w:rFonts w:ascii="Gotham" w:eastAsia="Arial" w:hAnsi="Gotham" w:cs="Arial"/>
                <w:sz w:val="20"/>
                <w:szCs w:val="20"/>
                <w:lang w:val="pt-BR"/>
              </w:rPr>
            </w:pPr>
            <w:hyperlink r:id="rId9" w:history="1">
              <w:r w:rsidRPr="00B811F7">
                <w:rPr>
                  <w:rStyle w:val="Hyperlink"/>
                  <w:rFonts w:ascii="Gotham" w:eastAsia="Arial" w:hAnsi="Gotham" w:cs="Arial"/>
                  <w:sz w:val="20"/>
                  <w:szCs w:val="20"/>
                  <w:lang w:val="pt-BR"/>
                </w:rPr>
                <w:t>c.hager@hlb.global</w:t>
              </w:r>
            </w:hyperlink>
          </w:p>
          <w:p w14:paraId="152EC9F4" w14:textId="3F1C6C1D" w:rsidR="27548EB0" w:rsidRPr="00B811F7" w:rsidRDefault="27548EB0" w:rsidP="27548EB0">
            <w:pPr>
              <w:rPr>
                <w:rFonts w:ascii="Gotham" w:eastAsia="Arial" w:hAnsi="Gotham" w:cs="Arial"/>
                <w:sz w:val="20"/>
                <w:szCs w:val="20"/>
                <w:lang w:val="pt-BR"/>
              </w:rPr>
            </w:pPr>
            <w:r w:rsidRPr="00B811F7">
              <w:rPr>
                <w:rFonts w:ascii="Gotham" w:eastAsia="Arial" w:hAnsi="Gotham" w:cs="Arial"/>
                <w:sz w:val="20"/>
                <w:szCs w:val="20"/>
                <w:lang w:val="pt-BR"/>
              </w:rPr>
              <w:t xml:space="preserve">+44 (0) 123 456 7890 </w:t>
            </w:r>
          </w:p>
        </w:tc>
      </w:tr>
      <w:tr w:rsidR="27548EB0" w:rsidRPr="00B811F7" w14:paraId="7F096A8D" w14:textId="77777777" w:rsidTr="52C60A7D">
        <w:trPr>
          <w:trHeight w:val="300"/>
        </w:trPr>
        <w:tc>
          <w:tcPr>
            <w:tcW w:w="2280" w:type="dxa"/>
            <w:tcBorders>
              <w:top w:val="nil"/>
              <w:left w:val="nil"/>
              <w:bottom w:val="nil"/>
              <w:right w:val="nil"/>
            </w:tcBorders>
            <w:tcMar>
              <w:left w:w="105" w:type="dxa"/>
              <w:right w:w="105" w:type="dxa"/>
            </w:tcMar>
          </w:tcPr>
          <w:p w14:paraId="1C1ED892" w14:textId="0753B158" w:rsidR="27548EB0" w:rsidRPr="00B811F7" w:rsidRDefault="27548EB0" w:rsidP="27548EB0">
            <w:pPr>
              <w:rPr>
                <w:rFonts w:ascii="Gotham" w:eastAsia="Arial" w:hAnsi="Gotham" w:cs="Arial"/>
                <w:sz w:val="20"/>
                <w:szCs w:val="20"/>
              </w:rPr>
            </w:pPr>
            <w:r w:rsidRPr="00B811F7">
              <w:rPr>
                <w:rFonts w:ascii="Gotham" w:eastAsia="Arial" w:hAnsi="Gotham" w:cs="Arial"/>
                <w:b/>
                <w:bCs/>
                <w:sz w:val="20"/>
                <w:szCs w:val="20"/>
                <w:lang w:val="en-GB"/>
              </w:rPr>
              <w:t>Pages</w:t>
            </w:r>
          </w:p>
        </w:tc>
        <w:tc>
          <w:tcPr>
            <w:tcW w:w="6765" w:type="dxa"/>
            <w:tcBorders>
              <w:top w:val="nil"/>
              <w:left w:val="nil"/>
              <w:bottom w:val="nil"/>
              <w:right w:val="nil"/>
            </w:tcBorders>
            <w:tcMar>
              <w:left w:w="105" w:type="dxa"/>
              <w:right w:w="105" w:type="dxa"/>
            </w:tcMar>
          </w:tcPr>
          <w:p w14:paraId="2174682D" w14:textId="0254DC5A" w:rsidR="27548EB0" w:rsidRPr="00B811F7" w:rsidRDefault="313DAF36" w:rsidP="27548EB0">
            <w:pPr>
              <w:rPr>
                <w:rFonts w:ascii="Gotham" w:eastAsia="Arial" w:hAnsi="Gotham" w:cs="Arial"/>
                <w:sz w:val="20"/>
                <w:szCs w:val="20"/>
              </w:rPr>
            </w:pPr>
            <w:r w:rsidRPr="00B811F7">
              <w:rPr>
                <w:rFonts w:ascii="Gotham" w:eastAsia="Arial" w:hAnsi="Gotham" w:cs="Arial"/>
                <w:sz w:val="20"/>
                <w:szCs w:val="20"/>
                <w:lang w:val="en-GB"/>
              </w:rPr>
              <w:t>0</w:t>
            </w:r>
            <w:r w:rsidR="00610707" w:rsidRPr="00B811F7">
              <w:rPr>
                <w:rFonts w:ascii="Gotham" w:eastAsia="Arial" w:hAnsi="Gotham" w:cs="Arial"/>
                <w:sz w:val="20"/>
                <w:szCs w:val="20"/>
                <w:lang w:val="en-GB"/>
              </w:rPr>
              <w:t>1</w:t>
            </w:r>
          </w:p>
        </w:tc>
      </w:tr>
    </w:tbl>
    <w:p w14:paraId="021BAA19" w14:textId="709768AC" w:rsidR="27548EB0" w:rsidRPr="00B811F7" w:rsidRDefault="27548EB0" w:rsidP="27548EB0">
      <w:pPr>
        <w:rPr>
          <w:rFonts w:ascii="Gotham" w:eastAsia="Arial" w:hAnsi="Gotham" w:cs="Arial"/>
          <w:color w:val="000000" w:themeColor="text1"/>
          <w:sz w:val="20"/>
          <w:szCs w:val="20"/>
          <w:lang w:val="en-GB"/>
        </w:rPr>
      </w:pPr>
    </w:p>
    <w:p w14:paraId="2EF2ED86" w14:textId="263E60BE" w:rsidR="004C4C6A" w:rsidRDefault="38E3CCFF" w:rsidP="00F5238D">
      <w:pPr>
        <w:rPr>
          <w:rFonts w:ascii="Gotham" w:eastAsia="Calibri" w:hAnsi="Gotham" w:cs="Times New Roman"/>
          <w:b/>
          <w:bCs/>
          <w:kern w:val="2"/>
          <w:lang w:val="en-GB" w:eastAsia="en-GB"/>
          <w14:ligatures w14:val="standardContextual"/>
        </w:rPr>
      </w:pPr>
      <w:r>
        <w:rPr>
          <w:noProof/>
        </w:rPr>
        <w:drawing>
          <wp:inline distT="0" distB="0" distL="0" distR="0" wp14:anchorId="2257E663" wp14:editId="1C779189">
            <wp:extent cx="5838824" cy="47625"/>
            <wp:effectExtent l="0" t="0" r="0" b="0"/>
            <wp:docPr id="414391832" name="Picture 414391832" descr="Shape">
              <a:extLst xmlns:a="http://schemas.openxmlformats.org/drawingml/2006/main">
                <a:ext uri="{FF2B5EF4-FFF2-40B4-BE49-F238E27FC236}">
                  <a16:creationId xmlns:a16="http://schemas.microsoft.com/office/drawing/2014/main" id="{99191C6C-058F-4436-A8B4-BC8743CA54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391832"/>
                    <pic:cNvPicPr/>
                  </pic:nvPicPr>
                  <pic:blipFill>
                    <a:blip r:embed="rId8">
                      <a:extLst>
                        <a:ext uri="{28A0092B-C50C-407E-A947-70E740481C1C}">
                          <a14:useLocalDpi xmlns:a14="http://schemas.microsoft.com/office/drawing/2010/main" val="0"/>
                        </a:ext>
                      </a:extLst>
                    </a:blip>
                    <a:stretch>
                      <a:fillRect/>
                    </a:stretch>
                  </pic:blipFill>
                  <pic:spPr>
                    <a:xfrm>
                      <a:off x="0" y="0"/>
                      <a:ext cx="5838824" cy="47625"/>
                    </a:xfrm>
                    <a:prstGeom prst="rect">
                      <a:avLst/>
                    </a:prstGeom>
                  </pic:spPr>
                </pic:pic>
              </a:graphicData>
            </a:graphic>
          </wp:inline>
        </w:drawing>
      </w:r>
      <w:r>
        <w:br/>
      </w:r>
    </w:p>
    <w:p w14:paraId="6E590530" w14:textId="74C38BDC" w:rsidR="1451BA43" w:rsidRDefault="1451BA43" w:rsidP="55EED548">
      <w:r w:rsidRPr="55EED548">
        <w:rPr>
          <w:rFonts w:ascii="Gotham" w:eastAsia="Gotham" w:hAnsi="Gotham" w:cs="Gotham"/>
          <w:sz w:val="22"/>
          <w:szCs w:val="22"/>
        </w:rPr>
        <w:t>HLB Announces Strategic Partnership with Platformed to Automate IT Audits with AI</w:t>
      </w:r>
    </w:p>
    <w:p w14:paraId="0C871518" w14:textId="77777777" w:rsidR="005677F1" w:rsidRPr="00600F35" w:rsidRDefault="642CCA0E" w:rsidP="00600F35">
      <w:pPr>
        <w:rPr>
          <w:rFonts w:ascii="Gotham" w:hAnsi="Gotham"/>
          <w:sz w:val="22"/>
          <w:szCs w:val="22"/>
        </w:rPr>
      </w:pPr>
      <w:r w:rsidRPr="00600F35">
        <w:rPr>
          <w:rFonts w:ascii="Gotham" w:hAnsi="Gotham"/>
          <w:sz w:val="22"/>
          <w:szCs w:val="22"/>
        </w:rPr>
        <w:t xml:space="preserve">LONDON – HLB, the global network of independent advisory and accounting firms, is pleased to announce a new strategic technology partnership with Platformed, the AI agent purpose-built for risk-based IT audits. </w:t>
      </w:r>
    </w:p>
    <w:p w14:paraId="700C8996" w14:textId="77777777" w:rsidR="008A252F" w:rsidRDefault="00265957" w:rsidP="00600F35">
      <w:pPr>
        <w:rPr>
          <w:rFonts w:ascii="Gotham" w:hAnsi="Gotham"/>
          <w:sz w:val="22"/>
          <w:szCs w:val="22"/>
        </w:rPr>
      </w:pPr>
      <w:r w:rsidRPr="00600F35">
        <w:rPr>
          <w:rFonts w:ascii="Gotham" w:hAnsi="Gotham"/>
          <w:sz w:val="22"/>
          <w:szCs w:val="22"/>
        </w:rPr>
        <w:t xml:space="preserve">Platformed </w:t>
      </w:r>
      <w:r w:rsidR="00177ED5" w:rsidRPr="00600F35">
        <w:rPr>
          <w:rFonts w:ascii="Gotham" w:hAnsi="Gotham"/>
          <w:sz w:val="22"/>
          <w:szCs w:val="22"/>
        </w:rPr>
        <w:t xml:space="preserve">joins HLB as an Affinity Partner, </w:t>
      </w:r>
      <w:r w:rsidR="0039681B" w:rsidRPr="00600F35">
        <w:rPr>
          <w:rFonts w:ascii="Gotham" w:hAnsi="Gotham"/>
          <w:sz w:val="22"/>
          <w:szCs w:val="22"/>
        </w:rPr>
        <w:t xml:space="preserve">expanding the network’s ecosystem of leading technology resources. </w:t>
      </w:r>
      <w:r w:rsidR="00670A60" w:rsidRPr="00600F35">
        <w:rPr>
          <w:rFonts w:ascii="Gotham" w:hAnsi="Gotham"/>
          <w:sz w:val="22"/>
          <w:szCs w:val="22"/>
        </w:rPr>
        <w:t>M</w:t>
      </w:r>
      <w:r w:rsidR="642CCA0E" w:rsidRPr="00600F35">
        <w:rPr>
          <w:rFonts w:ascii="Gotham" w:hAnsi="Gotham"/>
          <w:sz w:val="22"/>
          <w:szCs w:val="22"/>
        </w:rPr>
        <w:t xml:space="preserve">ember firms </w:t>
      </w:r>
      <w:r w:rsidR="00670A60" w:rsidRPr="00600F35">
        <w:rPr>
          <w:rFonts w:ascii="Gotham" w:hAnsi="Gotham"/>
          <w:sz w:val="22"/>
          <w:szCs w:val="22"/>
        </w:rPr>
        <w:t xml:space="preserve">across HLB’s network </w:t>
      </w:r>
      <w:r w:rsidR="00772B64" w:rsidRPr="00600F35">
        <w:rPr>
          <w:rFonts w:ascii="Gotham" w:hAnsi="Gotham"/>
          <w:sz w:val="22"/>
          <w:szCs w:val="22"/>
        </w:rPr>
        <w:t xml:space="preserve">will gain </w:t>
      </w:r>
      <w:r w:rsidR="0054119F" w:rsidRPr="00600F35">
        <w:rPr>
          <w:rFonts w:ascii="Gotham" w:hAnsi="Gotham"/>
          <w:sz w:val="22"/>
          <w:szCs w:val="22"/>
        </w:rPr>
        <w:t>access to</w:t>
      </w:r>
      <w:r w:rsidR="642CCA0E" w:rsidRPr="00600F35">
        <w:rPr>
          <w:rFonts w:ascii="Gotham" w:hAnsi="Gotham"/>
          <w:sz w:val="22"/>
          <w:szCs w:val="22"/>
        </w:rPr>
        <w:t xml:space="preserve"> </w:t>
      </w:r>
      <w:proofErr w:type="spellStart"/>
      <w:r w:rsidR="642CCA0E" w:rsidRPr="00600F35">
        <w:rPr>
          <w:rFonts w:ascii="Gotham" w:hAnsi="Gotham"/>
          <w:sz w:val="22"/>
          <w:szCs w:val="22"/>
        </w:rPr>
        <w:t>Platformed’s</w:t>
      </w:r>
      <w:proofErr w:type="spellEnd"/>
      <w:r w:rsidR="642CCA0E" w:rsidRPr="00600F35">
        <w:rPr>
          <w:rFonts w:ascii="Gotham" w:hAnsi="Gotham"/>
          <w:sz w:val="22"/>
          <w:szCs w:val="22"/>
        </w:rPr>
        <w:t xml:space="preserve"> advanced AI audit workflows, supporting the network’s continued </w:t>
      </w:r>
      <w:proofErr w:type="spellStart"/>
      <w:r w:rsidR="642CCA0E" w:rsidRPr="00600F35">
        <w:rPr>
          <w:rFonts w:ascii="Gotham" w:hAnsi="Gotham"/>
          <w:sz w:val="22"/>
          <w:szCs w:val="22"/>
        </w:rPr>
        <w:t>modernisation</w:t>
      </w:r>
      <w:proofErr w:type="spellEnd"/>
      <w:r w:rsidR="642CCA0E" w:rsidRPr="00600F35">
        <w:rPr>
          <w:rFonts w:ascii="Gotham" w:hAnsi="Gotham"/>
          <w:sz w:val="22"/>
          <w:szCs w:val="22"/>
        </w:rPr>
        <w:t xml:space="preserve"> of IT audit processes</w:t>
      </w:r>
      <w:r w:rsidR="00600F35" w:rsidRPr="00600F35">
        <w:rPr>
          <w:rFonts w:ascii="Gotham" w:hAnsi="Gotham"/>
          <w:sz w:val="22"/>
          <w:szCs w:val="22"/>
        </w:rPr>
        <w:t>.</w:t>
      </w:r>
    </w:p>
    <w:p w14:paraId="514B73CE" w14:textId="3827DC43" w:rsidR="00FB0ADE" w:rsidRPr="00600F35" w:rsidRDefault="004D0A84" w:rsidP="00600F35">
      <w:pPr>
        <w:rPr>
          <w:rFonts w:ascii="Gotham" w:hAnsi="Gotham"/>
          <w:sz w:val="22"/>
          <w:szCs w:val="22"/>
        </w:rPr>
      </w:pPr>
      <w:r w:rsidRPr="00600F35">
        <w:rPr>
          <w:rFonts w:ascii="Gotham" w:hAnsi="Gotham"/>
          <w:sz w:val="22"/>
          <w:szCs w:val="22"/>
        </w:rPr>
        <w:t>P</w:t>
      </w:r>
      <w:r w:rsidR="00FB0ADE" w:rsidRPr="00600F35">
        <w:rPr>
          <w:rFonts w:ascii="Gotham" w:hAnsi="Gotham"/>
          <w:sz w:val="22"/>
          <w:szCs w:val="22"/>
        </w:rPr>
        <w:t>latform</w:t>
      </w:r>
      <w:r w:rsidRPr="00600F35">
        <w:rPr>
          <w:rFonts w:ascii="Gotham" w:hAnsi="Gotham"/>
          <w:sz w:val="22"/>
          <w:szCs w:val="22"/>
        </w:rPr>
        <w:t>ed</w:t>
      </w:r>
      <w:r w:rsidR="00FB0ADE" w:rsidRPr="00600F35">
        <w:rPr>
          <w:rFonts w:ascii="Gotham" w:hAnsi="Gotham"/>
          <w:sz w:val="22"/>
          <w:szCs w:val="22"/>
        </w:rPr>
        <w:t xml:space="preserve"> supports both generalist audit teams working with non-complex entities and specialist IT auditors delivering assurance in highly complex, high-risk environments.</w:t>
      </w:r>
      <w:r w:rsidR="004A26AE">
        <w:rPr>
          <w:rFonts w:ascii="Gotham" w:hAnsi="Gotham"/>
          <w:sz w:val="22"/>
          <w:szCs w:val="22"/>
        </w:rPr>
        <w:t xml:space="preserve"> </w:t>
      </w:r>
      <w:r w:rsidR="004A26AE" w:rsidRPr="004A26AE">
        <w:rPr>
          <w:rFonts w:ascii="Gotham" w:hAnsi="Gotham"/>
          <w:sz w:val="22"/>
          <w:szCs w:val="22"/>
        </w:rPr>
        <w:t>The solution combines intelligent data intake, automated control evaluation, client complexity scoring, and real-time collaboration to simplify even the most demanding audit environments.</w:t>
      </w:r>
    </w:p>
    <w:p w14:paraId="60D95ACB" w14:textId="23EAD515" w:rsidR="004D0A84" w:rsidRPr="00600F35" w:rsidRDefault="004D0A84" w:rsidP="00600F35">
      <w:pPr>
        <w:rPr>
          <w:rFonts w:ascii="Gotham" w:hAnsi="Gotham"/>
          <w:sz w:val="22"/>
          <w:szCs w:val="22"/>
        </w:rPr>
      </w:pPr>
      <w:r w:rsidRPr="00600F35">
        <w:rPr>
          <w:rFonts w:ascii="Gotham" w:hAnsi="Gotham"/>
          <w:sz w:val="22"/>
          <w:szCs w:val="22"/>
        </w:rPr>
        <w:t xml:space="preserve">HLB’s Affinity Partner </w:t>
      </w:r>
      <w:proofErr w:type="spellStart"/>
      <w:r w:rsidRPr="00600F35">
        <w:rPr>
          <w:rFonts w:ascii="Gotham" w:hAnsi="Gotham"/>
          <w:sz w:val="22"/>
          <w:szCs w:val="22"/>
        </w:rPr>
        <w:t>Programme</w:t>
      </w:r>
      <w:proofErr w:type="spellEnd"/>
      <w:r w:rsidRPr="00600F35">
        <w:rPr>
          <w:rFonts w:ascii="Gotham" w:hAnsi="Gotham"/>
          <w:sz w:val="22"/>
          <w:szCs w:val="22"/>
        </w:rPr>
        <w:t xml:space="preserve"> works to accelerate the network’s digital transformation and growth. It supports HLB’s strategic aims and enhances its proposition by developing deep, long-lasting relationships with software vendors, institutes &amp; associations, and strategic partners.</w:t>
      </w:r>
    </w:p>
    <w:p w14:paraId="07FC68D7" w14:textId="6972B0DB" w:rsidR="642CCA0E" w:rsidRPr="00CF225D" w:rsidRDefault="642CCA0E" w:rsidP="00600F35">
      <w:pPr>
        <w:rPr>
          <w:rFonts w:ascii="Gotham" w:hAnsi="Gotham"/>
          <w:b/>
          <w:bCs/>
          <w:sz w:val="22"/>
          <w:szCs w:val="22"/>
        </w:rPr>
      </w:pPr>
      <w:r w:rsidRPr="00CF225D">
        <w:rPr>
          <w:rFonts w:ascii="Gotham" w:hAnsi="Gotham"/>
          <w:b/>
          <w:bCs/>
          <w:sz w:val="22"/>
          <w:szCs w:val="22"/>
        </w:rPr>
        <w:t>Amy Spillard, Head of Technology Partnerships</w:t>
      </w:r>
      <w:r w:rsidR="003C6ED7" w:rsidRPr="00CF225D">
        <w:rPr>
          <w:rFonts w:ascii="Gotham" w:hAnsi="Gotham"/>
          <w:b/>
          <w:bCs/>
          <w:sz w:val="22"/>
          <w:szCs w:val="22"/>
        </w:rPr>
        <w:t xml:space="preserve"> at</w:t>
      </w:r>
      <w:r w:rsidRPr="00CF225D">
        <w:rPr>
          <w:rFonts w:ascii="Gotham" w:hAnsi="Gotham"/>
          <w:b/>
          <w:bCs/>
          <w:sz w:val="22"/>
          <w:szCs w:val="22"/>
        </w:rPr>
        <w:t xml:space="preserve"> HLB International</w:t>
      </w:r>
      <w:r w:rsidR="003C6ED7" w:rsidRPr="00CF225D">
        <w:rPr>
          <w:rFonts w:ascii="Gotham" w:hAnsi="Gotham"/>
          <w:b/>
          <w:bCs/>
          <w:sz w:val="22"/>
          <w:szCs w:val="22"/>
        </w:rPr>
        <w:t>, said:</w:t>
      </w:r>
    </w:p>
    <w:p w14:paraId="3F9A175E" w14:textId="2EF1D29B" w:rsidR="00694A0D" w:rsidRPr="0008107D" w:rsidRDefault="00C479EE" w:rsidP="00600F35">
      <w:pPr>
        <w:rPr>
          <w:rFonts w:ascii="Gotham" w:hAnsi="Gotham"/>
          <w:i/>
          <w:iCs/>
          <w:sz w:val="22"/>
          <w:szCs w:val="22"/>
        </w:rPr>
      </w:pPr>
      <w:r w:rsidRPr="0008107D">
        <w:rPr>
          <w:rFonts w:ascii="Gotham" w:hAnsi="Gotham"/>
          <w:i/>
          <w:iCs/>
          <w:sz w:val="22"/>
          <w:szCs w:val="22"/>
        </w:rPr>
        <w:t>“At HLB, we continually strive to empower our member firms with innovative solutions that improve quality and efficiency. Partnering with Platformed enables us to bring advanced, AI-driven IT audit capabilities to our network, streamlining complex compliance tasks and reinforcing our commitment to excellence.</w:t>
      </w:r>
      <w:r w:rsidR="00694A0D" w:rsidRPr="0008107D">
        <w:rPr>
          <w:rFonts w:ascii="Gotham" w:hAnsi="Gotham"/>
          <w:i/>
          <w:iCs/>
          <w:sz w:val="22"/>
          <w:szCs w:val="22"/>
        </w:rPr>
        <w:t>”</w:t>
      </w:r>
      <w:r w:rsidRPr="0008107D">
        <w:rPr>
          <w:rFonts w:ascii="Gotham" w:hAnsi="Gotham"/>
          <w:i/>
          <w:iCs/>
          <w:sz w:val="22"/>
          <w:szCs w:val="22"/>
        </w:rPr>
        <w:t xml:space="preserve"> </w:t>
      </w:r>
    </w:p>
    <w:p w14:paraId="5E108A08" w14:textId="04D54A43" w:rsidR="00C479EE" w:rsidRPr="0008107D" w:rsidRDefault="00694A0D" w:rsidP="00600F35">
      <w:pPr>
        <w:rPr>
          <w:rFonts w:ascii="Gotham" w:hAnsi="Gotham"/>
          <w:i/>
          <w:iCs/>
          <w:sz w:val="22"/>
          <w:szCs w:val="22"/>
        </w:rPr>
      </w:pPr>
      <w:r w:rsidRPr="0008107D">
        <w:rPr>
          <w:rFonts w:ascii="Gotham" w:hAnsi="Gotham"/>
          <w:i/>
          <w:iCs/>
          <w:sz w:val="22"/>
          <w:szCs w:val="22"/>
        </w:rPr>
        <w:t>“</w:t>
      </w:r>
      <w:r w:rsidR="00C479EE" w:rsidRPr="0008107D">
        <w:rPr>
          <w:rFonts w:ascii="Gotham" w:hAnsi="Gotham"/>
          <w:i/>
          <w:iCs/>
          <w:sz w:val="22"/>
          <w:szCs w:val="22"/>
        </w:rPr>
        <w:t>This collaboration represents a significant step forward in ensuring our firms can deliver the best outcomes for their clients while staying ahead in today’s evolving regulatory landscape.”</w:t>
      </w:r>
    </w:p>
    <w:p w14:paraId="05498763" w14:textId="7D1DEDD2" w:rsidR="00FB0ADE" w:rsidRPr="00CF225D" w:rsidRDefault="00FB0ADE" w:rsidP="00600F35">
      <w:pPr>
        <w:rPr>
          <w:rFonts w:ascii="Gotham" w:hAnsi="Gotham"/>
          <w:b/>
          <w:bCs/>
          <w:sz w:val="22"/>
          <w:szCs w:val="22"/>
        </w:rPr>
      </w:pPr>
      <w:r w:rsidRPr="00CF225D">
        <w:rPr>
          <w:rFonts w:ascii="Gotham" w:hAnsi="Gotham"/>
          <w:b/>
          <w:bCs/>
          <w:sz w:val="22"/>
          <w:szCs w:val="22"/>
        </w:rPr>
        <w:t>James Evans, CRO and Founder at Platformed said:</w:t>
      </w:r>
    </w:p>
    <w:p w14:paraId="43BEFC14" w14:textId="77777777" w:rsidR="009D61A8" w:rsidRPr="0008107D" w:rsidRDefault="642CCA0E" w:rsidP="00600F35">
      <w:pPr>
        <w:rPr>
          <w:rFonts w:ascii="Gotham" w:hAnsi="Gotham"/>
          <w:i/>
          <w:iCs/>
          <w:sz w:val="22"/>
          <w:szCs w:val="22"/>
        </w:rPr>
      </w:pPr>
      <w:r w:rsidRPr="0008107D">
        <w:rPr>
          <w:rFonts w:ascii="Gotham" w:hAnsi="Gotham"/>
          <w:i/>
          <w:iCs/>
          <w:sz w:val="22"/>
          <w:szCs w:val="22"/>
        </w:rPr>
        <w:lastRenderedPageBreak/>
        <w:t xml:space="preserve">“We’re thrilled to be joining the HLB network and deepening our commitment to the audit sector. Our work with innovative firms like Menzies LLP has already shown the transformative impact Platformed can have – improving audit consistency, delivering additional value to clients and automating away manual workloads. </w:t>
      </w:r>
    </w:p>
    <w:p w14:paraId="27F187F6" w14:textId="77777777" w:rsidR="00742606" w:rsidRPr="0008107D" w:rsidRDefault="642CCA0E" w:rsidP="00600F35">
      <w:pPr>
        <w:rPr>
          <w:rFonts w:ascii="Gotham" w:hAnsi="Gotham"/>
          <w:i/>
          <w:iCs/>
          <w:sz w:val="22"/>
          <w:szCs w:val="22"/>
        </w:rPr>
      </w:pPr>
      <w:r w:rsidRPr="0008107D">
        <w:rPr>
          <w:rFonts w:ascii="Gotham" w:hAnsi="Gotham"/>
          <w:i/>
          <w:iCs/>
          <w:sz w:val="22"/>
          <w:szCs w:val="22"/>
        </w:rPr>
        <w:t xml:space="preserve">By partnering with HLB, we see an amazing opportunity to expand this value globally and to extend beyond IT to the full breadth of audit, to allow HLB member firms and their clients to </w:t>
      </w:r>
      <w:proofErr w:type="spellStart"/>
      <w:r w:rsidRPr="0008107D">
        <w:rPr>
          <w:rFonts w:ascii="Gotham" w:hAnsi="Gotham"/>
          <w:i/>
          <w:iCs/>
          <w:sz w:val="22"/>
          <w:szCs w:val="22"/>
        </w:rPr>
        <w:t>realise</w:t>
      </w:r>
      <w:proofErr w:type="spellEnd"/>
      <w:r w:rsidRPr="0008107D">
        <w:rPr>
          <w:rFonts w:ascii="Gotham" w:hAnsi="Gotham"/>
          <w:i/>
          <w:iCs/>
          <w:sz w:val="22"/>
          <w:szCs w:val="22"/>
        </w:rPr>
        <w:t xml:space="preserve"> the benefits that AI offers. We’re excited about what we can build together.”</w:t>
      </w:r>
    </w:p>
    <w:p w14:paraId="177E6323" w14:textId="70DF858D" w:rsidR="0008107D" w:rsidRDefault="642CCA0E" w:rsidP="00600F35">
      <w:pPr>
        <w:rPr>
          <w:rFonts w:ascii="Gotham" w:hAnsi="Gotham"/>
          <w:b/>
          <w:bCs/>
          <w:sz w:val="22"/>
          <w:szCs w:val="22"/>
        </w:rPr>
      </w:pPr>
      <w:r w:rsidRPr="00600F35">
        <w:rPr>
          <w:rFonts w:ascii="Gotham" w:hAnsi="Gotham"/>
          <w:sz w:val="22"/>
          <w:szCs w:val="22"/>
        </w:rPr>
        <w:br/>
      </w:r>
      <w:r w:rsidR="00742606" w:rsidRPr="00742606">
        <w:rPr>
          <w:rFonts w:ascii="Gotham" w:hAnsi="Gotham"/>
          <w:b/>
          <w:bCs/>
          <w:sz w:val="22"/>
          <w:szCs w:val="22"/>
        </w:rPr>
        <w:t>Notes to Editor</w:t>
      </w:r>
    </w:p>
    <w:p w14:paraId="38DAAE58" w14:textId="47CC1779" w:rsidR="0008107D" w:rsidRPr="00742606" w:rsidRDefault="0008107D" w:rsidP="00600F35">
      <w:pPr>
        <w:rPr>
          <w:rFonts w:ascii="Gotham" w:hAnsi="Gotham"/>
          <w:sz w:val="22"/>
          <w:szCs w:val="22"/>
        </w:rPr>
      </w:pPr>
      <w:r w:rsidRPr="0008107D">
        <w:rPr>
          <w:rFonts w:ascii="Gotham" w:hAnsi="Gotham"/>
          <w:sz w:val="22"/>
          <w:szCs w:val="22"/>
        </w:rPr>
        <w:t>For further information, please email Callahan Hager, HLB’s Marketing Communications Manager: </w:t>
      </w:r>
      <w:proofErr w:type="spellStart"/>
      <w:r w:rsidRPr="0008107D">
        <w:rPr>
          <w:rFonts w:ascii="Gotham" w:hAnsi="Gotham"/>
          <w:sz w:val="22"/>
          <w:szCs w:val="22"/>
        </w:rPr>
        <w:t>c.hager@hlb.global</w:t>
      </w:r>
      <w:proofErr w:type="spellEnd"/>
      <w:r w:rsidRPr="0008107D">
        <w:rPr>
          <w:rFonts w:ascii="Gotham" w:hAnsi="Gotham"/>
          <w:sz w:val="22"/>
          <w:szCs w:val="22"/>
        </w:rPr>
        <w:t>.</w:t>
      </w:r>
    </w:p>
    <w:p w14:paraId="06E7A53B" w14:textId="7FFD3E79" w:rsidR="00E21D5A" w:rsidRPr="00E21D5A" w:rsidRDefault="00E21D5A" w:rsidP="00E21D5A">
      <w:pPr>
        <w:rPr>
          <w:rFonts w:ascii="Gotham" w:hAnsi="Gotham"/>
          <w:b/>
          <w:bCs/>
          <w:sz w:val="22"/>
          <w:szCs w:val="22"/>
          <w:lang w:val="en-GB"/>
        </w:rPr>
      </w:pPr>
      <w:r w:rsidRPr="00E21D5A">
        <w:rPr>
          <w:rFonts w:ascii="Gotham" w:hAnsi="Gotham"/>
          <w:b/>
          <w:bCs/>
          <w:sz w:val="22"/>
          <w:szCs w:val="22"/>
          <w:lang w:val="en-GB"/>
        </w:rPr>
        <w:t xml:space="preserve">About </w:t>
      </w:r>
      <w:proofErr w:type="spellStart"/>
      <w:r w:rsidRPr="00E21D5A">
        <w:rPr>
          <w:rFonts w:ascii="Gotham" w:hAnsi="Gotham"/>
          <w:b/>
          <w:bCs/>
          <w:sz w:val="22"/>
          <w:szCs w:val="22"/>
          <w:lang w:val="en-GB"/>
        </w:rPr>
        <w:t>Platformed’s</w:t>
      </w:r>
      <w:proofErr w:type="spellEnd"/>
      <w:r w:rsidRPr="00E21D5A">
        <w:rPr>
          <w:rFonts w:ascii="Gotham" w:hAnsi="Gotham"/>
          <w:b/>
          <w:bCs/>
          <w:sz w:val="22"/>
          <w:szCs w:val="22"/>
          <w:lang w:val="en-GB"/>
        </w:rPr>
        <w:t xml:space="preserve"> IT Audit Solution</w:t>
      </w:r>
    </w:p>
    <w:p w14:paraId="30B7853D" w14:textId="7DB7F62B" w:rsidR="00E21D5A" w:rsidRPr="00E21D5A" w:rsidRDefault="00E21D5A" w:rsidP="00E21D5A">
      <w:pPr>
        <w:rPr>
          <w:rFonts w:ascii="Gotham" w:hAnsi="Gotham"/>
          <w:sz w:val="22"/>
          <w:szCs w:val="22"/>
          <w:lang w:val="en-GB"/>
        </w:rPr>
      </w:pPr>
      <w:r w:rsidRPr="00E21D5A">
        <w:rPr>
          <w:rFonts w:ascii="Gotham" w:hAnsi="Gotham"/>
          <w:sz w:val="22"/>
          <w:szCs w:val="22"/>
          <w:lang w:val="en-GB"/>
        </w:rPr>
        <w:t xml:space="preserve">Platformed is an AI agent designed specifically for risk-based IT audits, including compliance with </w:t>
      </w:r>
      <w:r w:rsidRPr="00E21D5A">
        <w:rPr>
          <w:rFonts w:ascii="Gotham" w:hAnsi="Gotham"/>
          <w:b/>
          <w:bCs/>
          <w:sz w:val="22"/>
          <w:szCs w:val="22"/>
          <w:lang w:val="en-GB"/>
        </w:rPr>
        <w:t>ISA 315</w:t>
      </w:r>
      <w:r w:rsidRPr="00E21D5A">
        <w:rPr>
          <w:rFonts w:ascii="Gotham" w:hAnsi="Gotham"/>
          <w:sz w:val="22"/>
          <w:szCs w:val="22"/>
          <w:lang w:val="en-GB"/>
        </w:rPr>
        <w:t>. It automates data collection, client classification, and preliminary risk and control assessments, helping auditors pinpoint key IT risks that impact financial reporting with precision and speed. Its standardized workflows guide teams from intake through reporting, while exportable evidence packs ensure robust documentation and audit file readiness.</w:t>
      </w:r>
    </w:p>
    <w:p w14:paraId="0B7F4CC1" w14:textId="77777777" w:rsidR="00E21D5A" w:rsidRPr="00E21D5A" w:rsidRDefault="00E21D5A" w:rsidP="00E21D5A">
      <w:pPr>
        <w:rPr>
          <w:rFonts w:ascii="Gotham" w:hAnsi="Gotham"/>
          <w:sz w:val="22"/>
          <w:szCs w:val="22"/>
          <w:lang w:val="en-GB"/>
        </w:rPr>
      </w:pPr>
      <w:r w:rsidRPr="00E21D5A">
        <w:rPr>
          <w:rFonts w:ascii="Gotham" w:hAnsi="Gotham"/>
          <w:sz w:val="22"/>
          <w:szCs w:val="22"/>
          <w:lang w:val="en-GB"/>
        </w:rPr>
        <w:t>Key capabilities include:</w:t>
      </w:r>
    </w:p>
    <w:p w14:paraId="2DB0488E" w14:textId="77777777" w:rsidR="00E21D5A" w:rsidRPr="00E21D5A" w:rsidRDefault="00E21D5A" w:rsidP="00E21D5A">
      <w:pPr>
        <w:numPr>
          <w:ilvl w:val="0"/>
          <w:numId w:val="1"/>
        </w:numPr>
        <w:rPr>
          <w:rFonts w:ascii="Gotham" w:hAnsi="Gotham"/>
          <w:sz w:val="22"/>
          <w:szCs w:val="22"/>
          <w:lang w:val="en-GB"/>
        </w:rPr>
      </w:pPr>
      <w:r w:rsidRPr="00E21D5A">
        <w:rPr>
          <w:rFonts w:ascii="Gotham" w:hAnsi="Gotham"/>
          <w:b/>
          <w:bCs/>
          <w:sz w:val="22"/>
          <w:szCs w:val="22"/>
          <w:lang w:val="en-GB"/>
        </w:rPr>
        <w:t xml:space="preserve">Automated Control Assessment </w:t>
      </w:r>
      <w:r w:rsidRPr="00E21D5A">
        <w:rPr>
          <w:rFonts w:ascii="Gotham" w:hAnsi="Gotham"/>
          <w:sz w:val="22"/>
          <w:szCs w:val="22"/>
          <w:lang w:val="en-GB"/>
        </w:rPr>
        <w:t xml:space="preserve">- </w:t>
      </w:r>
      <w:proofErr w:type="spellStart"/>
      <w:r w:rsidRPr="00E21D5A">
        <w:rPr>
          <w:rFonts w:ascii="Gotham" w:hAnsi="Gotham"/>
          <w:sz w:val="22"/>
          <w:szCs w:val="22"/>
          <w:lang w:val="en-GB"/>
        </w:rPr>
        <w:t>Platformed’s</w:t>
      </w:r>
      <w:proofErr w:type="spellEnd"/>
      <w:r w:rsidRPr="00E21D5A">
        <w:rPr>
          <w:rFonts w:ascii="Gotham" w:hAnsi="Gotham"/>
          <w:sz w:val="22"/>
          <w:szCs w:val="22"/>
          <w:lang w:val="en-GB"/>
        </w:rPr>
        <w:t xml:space="preserve"> AI agent assesses controls automatically with full evidence trail to data room sources</w:t>
      </w:r>
    </w:p>
    <w:p w14:paraId="5EDC2B27" w14:textId="77777777" w:rsidR="00E21D5A" w:rsidRPr="00E21D5A" w:rsidRDefault="00E21D5A" w:rsidP="00E21D5A">
      <w:pPr>
        <w:numPr>
          <w:ilvl w:val="0"/>
          <w:numId w:val="1"/>
        </w:numPr>
        <w:rPr>
          <w:rFonts w:ascii="Gotham" w:hAnsi="Gotham"/>
          <w:sz w:val="22"/>
          <w:szCs w:val="22"/>
          <w:lang w:val="en-GB"/>
        </w:rPr>
      </w:pPr>
      <w:r w:rsidRPr="00E21D5A">
        <w:rPr>
          <w:rFonts w:ascii="Gotham" w:hAnsi="Gotham"/>
          <w:b/>
          <w:bCs/>
          <w:sz w:val="22"/>
          <w:szCs w:val="22"/>
          <w:lang w:val="en-GB"/>
        </w:rPr>
        <w:t>Automated Risk Assessment</w:t>
      </w:r>
      <w:r w:rsidRPr="00E21D5A">
        <w:rPr>
          <w:rFonts w:ascii="Gotham" w:hAnsi="Gotham"/>
          <w:sz w:val="22"/>
          <w:szCs w:val="22"/>
          <w:lang w:val="en-GB"/>
        </w:rPr>
        <w:t xml:space="preserve"> - </w:t>
      </w:r>
      <w:proofErr w:type="spellStart"/>
      <w:r w:rsidRPr="00E21D5A">
        <w:rPr>
          <w:rFonts w:ascii="Gotham" w:hAnsi="Gotham"/>
          <w:sz w:val="22"/>
          <w:szCs w:val="22"/>
          <w:lang w:val="en-GB"/>
        </w:rPr>
        <w:t>Platformed’s</w:t>
      </w:r>
      <w:proofErr w:type="spellEnd"/>
      <w:r w:rsidRPr="00E21D5A">
        <w:rPr>
          <w:rFonts w:ascii="Gotham" w:hAnsi="Gotham"/>
          <w:sz w:val="22"/>
          <w:szCs w:val="22"/>
          <w:lang w:val="en-GB"/>
        </w:rPr>
        <w:t xml:space="preserve"> AI agent </w:t>
      </w:r>
      <w:proofErr w:type="gramStart"/>
      <w:r w:rsidRPr="00E21D5A">
        <w:rPr>
          <w:rFonts w:ascii="Gotham" w:hAnsi="Gotham"/>
          <w:sz w:val="22"/>
          <w:szCs w:val="22"/>
          <w:lang w:val="en-GB"/>
        </w:rPr>
        <w:t>identifies</w:t>
      </w:r>
      <w:proofErr w:type="gramEnd"/>
      <w:r w:rsidRPr="00E21D5A">
        <w:rPr>
          <w:rFonts w:ascii="Gotham" w:hAnsi="Gotham"/>
          <w:sz w:val="22"/>
          <w:szCs w:val="22"/>
          <w:lang w:val="en-GB"/>
        </w:rPr>
        <w:t xml:space="preserve"> and scores risks against standard or bespoke risk frameworks, providing a full narrative and evidence to support auditor review </w:t>
      </w:r>
    </w:p>
    <w:p w14:paraId="3F706084" w14:textId="77777777" w:rsidR="00E21D5A" w:rsidRPr="00E21D5A" w:rsidRDefault="00E21D5A" w:rsidP="00E21D5A">
      <w:pPr>
        <w:numPr>
          <w:ilvl w:val="0"/>
          <w:numId w:val="1"/>
        </w:numPr>
        <w:rPr>
          <w:rFonts w:ascii="Gotham" w:hAnsi="Gotham"/>
          <w:sz w:val="22"/>
          <w:szCs w:val="22"/>
          <w:lang w:val="en-GB"/>
        </w:rPr>
      </w:pPr>
      <w:r w:rsidRPr="00E21D5A">
        <w:rPr>
          <w:rFonts w:ascii="Gotham" w:hAnsi="Gotham"/>
          <w:b/>
          <w:bCs/>
          <w:sz w:val="22"/>
          <w:szCs w:val="22"/>
          <w:lang w:val="en-GB"/>
        </w:rPr>
        <w:t>Stakeholder Collaboration</w:t>
      </w:r>
      <w:r w:rsidRPr="00E21D5A">
        <w:rPr>
          <w:rFonts w:ascii="Gotham" w:hAnsi="Gotham"/>
          <w:sz w:val="22"/>
          <w:szCs w:val="22"/>
          <w:lang w:val="en-GB"/>
        </w:rPr>
        <w:t xml:space="preserve"> - Auditors and managers can review, comment, amend and approve findings within the platform, maintaining a clear audit trail</w:t>
      </w:r>
    </w:p>
    <w:p w14:paraId="553390A1" w14:textId="77777777" w:rsidR="00E21D5A" w:rsidRPr="00E21D5A" w:rsidRDefault="00E21D5A" w:rsidP="00E21D5A">
      <w:pPr>
        <w:numPr>
          <w:ilvl w:val="0"/>
          <w:numId w:val="1"/>
        </w:numPr>
        <w:rPr>
          <w:rFonts w:ascii="Gotham" w:hAnsi="Gotham"/>
          <w:sz w:val="22"/>
          <w:szCs w:val="22"/>
          <w:lang w:val="en-GB"/>
        </w:rPr>
      </w:pPr>
      <w:r w:rsidRPr="00E21D5A">
        <w:rPr>
          <w:rFonts w:ascii="Gotham" w:hAnsi="Gotham"/>
          <w:b/>
          <w:bCs/>
          <w:sz w:val="22"/>
          <w:szCs w:val="22"/>
          <w:lang w:val="en-GB"/>
        </w:rPr>
        <w:t>Exportable Reports</w:t>
      </w:r>
      <w:r w:rsidRPr="00E21D5A">
        <w:rPr>
          <w:rFonts w:ascii="Gotham" w:hAnsi="Gotham"/>
          <w:sz w:val="22"/>
          <w:szCs w:val="22"/>
          <w:lang w:val="en-GB"/>
        </w:rPr>
        <w:t xml:space="preserve"> - Standard and bespoke reports can be viewed, downloaded or shared via API to cover every use case from presenting results to clients to storing working papers</w:t>
      </w:r>
    </w:p>
    <w:p w14:paraId="364040D0" w14:textId="77777777" w:rsidR="00E21D5A" w:rsidRPr="00E21D5A" w:rsidRDefault="00E21D5A" w:rsidP="00E21D5A">
      <w:pPr>
        <w:numPr>
          <w:ilvl w:val="0"/>
          <w:numId w:val="1"/>
        </w:numPr>
        <w:rPr>
          <w:rFonts w:ascii="Gotham" w:hAnsi="Gotham"/>
          <w:sz w:val="22"/>
          <w:szCs w:val="22"/>
          <w:lang w:val="en-GB"/>
        </w:rPr>
      </w:pPr>
      <w:r w:rsidRPr="00E21D5A">
        <w:rPr>
          <w:rFonts w:ascii="Gotham" w:hAnsi="Gotham"/>
          <w:b/>
          <w:bCs/>
          <w:sz w:val="22"/>
          <w:szCs w:val="22"/>
          <w:lang w:val="en-GB"/>
        </w:rPr>
        <w:t>Evidence Collection</w:t>
      </w:r>
      <w:r w:rsidRPr="00E21D5A">
        <w:rPr>
          <w:rFonts w:ascii="Gotham" w:hAnsi="Gotham"/>
          <w:sz w:val="22"/>
          <w:szCs w:val="22"/>
          <w:lang w:val="en-GB"/>
        </w:rPr>
        <w:t xml:space="preserve"> - Evidence can be collected via customizable questionnaires and via integrations with internal or external systems</w:t>
      </w:r>
    </w:p>
    <w:p w14:paraId="1BF3B4F1" w14:textId="1B14A4F4" w:rsidR="00742606" w:rsidRPr="00E21D5A" w:rsidRDefault="00E21D5A" w:rsidP="00600F35">
      <w:pPr>
        <w:rPr>
          <w:rFonts w:ascii="Gotham" w:hAnsi="Gotham"/>
          <w:b/>
          <w:bCs/>
          <w:sz w:val="22"/>
          <w:szCs w:val="22"/>
        </w:rPr>
      </w:pPr>
      <w:r w:rsidRPr="00E21D5A">
        <w:rPr>
          <w:rFonts w:ascii="Gotham" w:hAnsi="Gotham"/>
          <w:b/>
          <w:bCs/>
          <w:sz w:val="22"/>
          <w:szCs w:val="22"/>
        </w:rPr>
        <w:t>About HLB</w:t>
      </w:r>
    </w:p>
    <w:p w14:paraId="69CFDD17" w14:textId="15C3C6E9" w:rsidR="00DD0A67" w:rsidRPr="00600F35" w:rsidRDefault="00DD0A67" w:rsidP="00600F35">
      <w:pPr>
        <w:rPr>
          <w:rFonts w:ascii="Gotham" w:hAnsi="Gotham"/>
          <w:sz w:val="22"/>
          <w:szCs w:val="22"/>
        </w:rPr>
      </w:pPr>
      <w:r w:rsidRPr="00600F35">
        <w:rPr>
          <w:rFonts w:ascii="Gotham" w:hAnsi="Gotham"/>
          <w:sz w:val="22"/>
          <w:szCs w:val="22"/>
        </w:rPr>
        <w:t>HLB International is a global network of independent advisory and accounting firms and through the power of 51,948 professionals across 155 countries, we combine local expertise and global capab</w:t>
      </w:r>
      <w:r w:rsidR="63BF19E7" w:rsidRPr="00600F35">
        <w:rPr>
          <w:rFonts w:ascii="Gotham" w:hAnsi="Gotham"/>
          <w:sz w:val="22"/>
          <w:szCs w:val="22"/>
        </w:rPr>
        <w:t>i</w:t>
      </w:r>
      <w:r w:rsidRPr="00600F35">
        <w:rPr>
          <w:rFonts w:ascii="Gotham" w:hAnsi="Gotham"/>
          <w:sz w:val="22"/>
          <w:szCs w:val="22"/>
        </w:rPr>
        <w:t xml:space="preserve">lities to service client's needs. Learn more about HLB's global services and capabilities: </w:t>
      </w:r>
      <w:hyperlink r:id="rId10">
        <w:r w:rsidRPr="00600F35">
          <w:rPr>
            <w:rStyle w:val="Hyperlink"/>
            <w:rFonts w:ascii="Gotham" w:hAnsi="Gotham"/>
            <w:sz w:val="22"/>
            <w:szCs w:val="22"/>
          </w:rPr>
          <w:t>www.hlb.global</w:t>
        </w:r>
      </w:hyperlink>
    </w:p>
    <w:p w14:paraId="6661A155" w14:textId="77777777" w:rsidR="00DD0A67" w:rsidRPr="00600F35" w:rsidRDefault="00DD0A67" w:rsidP="00600F35">
      <w:pPr>
        <w:rPr>
          <w:rFonts w:ascii="Gotham" w:hAnsi="Gotham"/>
          <w:sz w:val="22"/>
          <w:szCs w:val="22"/>
        </w:rPr>
      </w:pPr>
      <w:r w:rsidRPr="00600F35">
        <w:rPr>
          <w:rFonts w:ascii="Gotham" w:hAnsi="Gotham"/>
          <w:sz w:val="22"/>
          <w:szCs w:val="22"/>
        </w:rPr>
        <w:lastRenderedPageBreak/>
        <w:t>HLB refers to the HLB international network and/or one or more of its member firms, each of which is a separate legal entity. Please see </w:t>
      </w:r>
      <w:hyperlink r:id="rId11">
        <w:r w:rsidRPr="00600F35">
          <w:rPr>
            <w:rStyle w:val="Hyperlink"/>
            <w:rFonts w:ascii="Gotham" w:hAnsi="Gotham"/>
            <w:sz w:val="22"/>
            <w:szCs w:val="22"/>
          </w:rPr>
          <w:t>www.hlb.global/legal</w:t>
        </w:r>
      </w:hyperlink>
      <w:r w:rsidRPr="00600F35">
        <w:rPr>
          <w:rFonts w:ascii="Gotham" w:hAnsi="Gotham"/>
          <w:sz w:val="22"/>
          <w:szCs w:val="22"/>
        </w:rPr>
        <w:t> for further details.</w:t>
      </w:r>
    </w:p>
    <w:p w14:paraId="05CB9DB5" w14:textId="28F72EE1" w:rsidR="003500E4" w:rsidRPr="00600F35" w:rsidRDefault="00DD0A67" w:rsidP="00600F35">
      <w:pPr>
        <w:rPr>
          <w:rFonts w:ascii="Gotham" w:hAnsi="Gotham"/>
          <w:sz w:val="22"/>
          <w:szCs w:val="22"/>
        </w:rPr>
      </w:pPr>
      <w:r w:rsidRPr="00600F35">
        <w:rPr>
          <w:rFonts w:ascii="Gotham" w:hAnsi="Gotham"/>
          <w:sz w:val="22"/>
          <w:szCs w:val="22"/>
        </w:rPr>
        <w:t>© 2025 HLB International limited. All rights reserved.</w:t>
      </w:r>
    </w:p>
    <w:p w14:paraId="01EDB06D" w14:textId="094A4B2C" w:rsidR="006E25A5" w:rsidRPr="00F444E6" w:rsidRDefault="006E25A5" w:rsidP="009D2456">
      <w:pPr>
        <w:rPr>
          <w:rFonts w:ascii="Arial" w:eastAsia="Arial" w:hAnsi="Arial" w:cs="Arial"/>
          <w:b/>
          <w:bCs/>
          <w:i/>
          <w:iCs/>
          <w:color w:val="000000" w:themeColor="text1"/>
          <w:sz w:val="22"/>
          <w:szCs w:val="22"/>
          <w:lang w:val="en-GB"/>
        </w:rPr>
      </w:pPr>
    </w:p>
    <w:p w14:paraId="5F5E33B5" w14:textId="77777777" w:rsidR="009D2456" w:rsidRPr="00F444E6" w:rsidRDefault="009D2456" w:rsidP="00D742B7">
      <w:pPr>
        <w:rPr>
          <w:rFonts w:ascii="Arial" w:eastAsia="Arial" w:hAnsi="Arial" w:cs="Arial"/>
          <w:color w:val="000000" w:themeColor="text1"/>
          <w:sz w:val="22"/>
          <w:szCs w:val="22"/>
          <w:lang w:val="en-GB"/>
        </w:rPr>
      </w:pPr>
    </w:p>
    <w:p w14:paraId="55E9D2AF" w14:textId="77777777" w:rsidR="00D742B7" w:rsidRPr="00F444E6" w:rsidRDefault="00D742B7" w:rsidP="00D742B7">
      <w:pPr>
        <w:rPr>
          <w:rStyle w:val="Hyperlink"/>
          <w:rFonts w:ascii="Arial" w:eastAsia="Arial" w:hAnsi="Arial" w:cs="Arial"/>
          <w:sz w:val="22"/>
          <w:szCs w:val="22"/>
          <w:lang w:val="en-GB"/>
        </w:rPr>
      </w:pPr>
      <w:r w:rsidRPr="00F444E6">
        <w:rPr>
          <w:rFonts w:ascii="Arial" w:eastAsia="Arial" w:hAnsi="Arial" w:cs="Arial"/>
          <w:color w:val="000000" w:themeColor="text1"/>
          <w:sz w:val="22"/>
          <w:szCs w:val="22"/>
          <w:lang w:val="en-GB"/>
        </w:rPr>
        <w:fldChar w:fldCharType="begin"/>
      </w:r>
      <w:r w:rsidRPr="00F444E6">
        <w:rPr>
          <w:rFonts w:ascii="Arial" w:eastAsia="Arial" w:hAnsi="Arial" w:cs="Arial"/>
          <w:color w:val="000000" w:themeColor="text1"/>
          <w:sz w:val="22"/>
          <w:szCs w:val="22"/>
          <w:lang w:val="en-GB"/>
        </w:rPr>
        <w:instrText>HYPERLINK "https://www.hlb.global/wp-content/uploads/2024/09/HLB-Press-release-template-2024-4.pdf" \t "_blank"</w:instrText>
      </w:r>
      <w:r w:rsidRPr="00F444E6">
        <w:rPr>
          <w:rFonts w:ascii="Arial" w:eastAsia="Arial" w:hAnsi="Arial" w:cs="Arial"/>
          <w:color w:val="000000" w:themeColor="text1"/>
          <w:sz w:val="22"/>
          <w:szCs w:val="22"/>
          <w:lang w:val="en-GB"/>
        </w:rPr>
      </w:r>
      <w:r w:rsidRPr="00F444E6">
        <w:rPr>
          <w:rFonts w:ascii="Arial" w:eastAsia="Arial" w:hAnsi="Arial" w:cs="Arial"/>
          <w:color w:val="000000" w:themeColor="text1"/>
          <w:sz w:val="22"/>
          <w:szCs w:val="22"/>
          <w:lang w:val="en-GB"/>
        </w:rPr>
        <w:fldChar w:fldCharType="separate"/>
      </w:r>
    </w:p>
    <w:p w14:paraId="064455B3" w14:textId="77777777" w:rsidR="00D742B7" w:rsidRPr="00F444E6" w:rsidRDefault="00D742B7" w:rsidP="00D742B7">
      <w:pPr>
        <w:rPr>
          <w:rStyle w:val="Hyperlink"/>
          <w:rFonts w:ascii="Arial" w:eastAsia="Arial" w:hAnsi="Arial" w:cs="Arial"/>
          <w:sz w:val="22"/>
          <w:szCs w:val="22"/>
          <w:lang w:val="en-GB"/>
        </w:rPr>
      </w:pPr>
      <w:r w:rsidRPr="00F444E6">
        <w:rPr>
          <w:rStyle w:val="Hyperlink"/>
          <w:rFonts w:ascii="Arial" w:eastAsia="Arial" w:hAnsi="Arial" w:cs="Arial"/>
          <w:sz w:val="22"/>
          <w:szCs w:val="22"/>
          <w:lang w:val="en-GB"/>
        </w:rPr>
        <w:br/>
      </w:r>
    </w:p>
    <w:p w14:paraId="32B31DB5" w14:textId="06986A81" w:rsidR="27548EB0" w:rsidRPr="00F444E6" w:rsidRDefault="00D742B7" w:rsidP="00D742B7">
      <w:pPr>
        <w:rPr>
          <w:rFonts w:ascii="Arial" w:eastAsia="Arial" w:hAnsi="Arial" w:cs="Arial"/>
          <w:color w:val="000000" w:themeColor="text1"/>
          <w:sz w:val="22"/>
          <w:szCs w:val="22"/>
          <w:lang w:val="en-GB"/>
        </w:rPr>
      </w:pPr>
      <w:r w:rsidRPr="00F444E6">
        <w:rPr>
          <w:rFonts w:ascii="Arial" w:eastAsia="Arial" w:hAnsi="Arial" w:cs="Arial"/>
          <w:color w:val="000000" w:themeColor="text1"/>
          <w:sz w:val="22"/>
          <w:szCs w:val="22"/>
          <w:lang w:val="en-GB"/>
        </w:rPr>
        <w:fldChar w:fldCharType="end"/>
      </w:r>
    </w:p>
    <w:p w14:paraId="6AFE28D6" w14:textId="4060898E" w:rsidR="27548EB0" w:rsidRDefault="27548EB0" w:rsidP="27548EB0">
      <w:pPr>
        <w:rPr>
          <w:rFonts w:ascii="Arial" w:eastAsia="Arial" w:hAnsi="Arial" w:cs="Arial"/>
          <w:color w:val="000000" w:themeColor="text1"/>
          <w:sz w:val="22"/>
          <w:szCs w:val="22"/>
          <w:lang w:val="en-GB"/>
        </w:rPr>
      </w:pPr>
    </w:p>
    <w:sectPr w:rsidR="27548E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otham">
    <w:altName w:val="Calibri"/>
    <w:panose1 w:val="02000504050000020004"/>
    <w:charset w:val="00"/>
    <w:family w:val="auto"/>
    <w:pitch w:val="variable"/>
    <w:sig w:usb0="800000A7"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C0A25"/>
    <w:multiLevelType w:val="multilevel"/>
    <w:tmpl w:val="092076D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338579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401D5C"/>
    <w:rsid w:val="0000725E"/>
    <w:rsid w:val="00007412"/>
    <w:rsid w:val="00014C92"/>
    <w:rsid w:val="00021CAA"/>
    <w:rsid w:val="000264DF"/>
    <w:rsid w:val="000503E7"/>
    <w:rsid w:val="00065811"/>
    <w:rsid w:val="00077CFE"/>
    <w:rsid w:val="0008107D"/>
    <w:rsid w:val="000E01CC"/>
    <w:rsid w:val="000F64CE"/>
    <w:rsid w:val="00102A38"/>
    <w:rsid w:val="001240D8"/>
    <w:rsid w:val="001271FE"/>
    <w:rsid w:val="00177ED5"/>
    <w:rsid w:val="00180396"/>
    <w:rsid w:val="001A69B2"/>
    <w:rsid w:val="001B0F45"/>
    <w:rsid w:val="001D495C"/>
    <w:rsid w:val="001F48D3"/>
    <w:rsid w:val="001F61BC"/>
    <w:rsid w:val="002039F5"/>
    <w:rsid w:val="00211692"/>
    <w:rsid w:val="00214502"/>
    <w:rsid w:val="00222C5D"/>
    <w:rsid w:val="00244059"/>
    <w:rsid w:val="00265957"/>
    <w:rsid w:val="00267E44"/>
    <w:rsid w:val="002B1ACB"/>
    <w:rsid w:val="002E66FE"/>
    <w:rsid w:val="002F23AA"/>
    <w:rsid w:val="0030014C"/>
    <w:rsid w:val="003500E4"/>
    <w:rsid w:val="00361B09"/>
    <w:rsid w:val="00377C0E"/>
    <w:rsid w:val="00383620"/>
    <w:rsid w:val="00391761"/>
    <w:rsid w:val="00393E51"/>
    <w:rsid w:val="0039681B"/>
    <w:rsid w:val="003A1290"/>
    <w:rsid w:val="003A6E77"/>
    <w:rsid w:val="003C1F35"/>
    <w:rsid w:val="003C32A6"/>
    <w:rsid w:val="003C6ED7"/>
    <w:rsid w:val="003D3295"/>
    <w:rsid w:val="003F55C7"/>
    <w:rsid w:val="004356C6"/>
    <w:rsid w:val="004760B9"/>
    <w:rsid w:val="004A26AE"/>
    <w:rsid w:val="004B4424"/>
    <w:rsid w:val="004B78A0"/>
    <w:rsid w:val="004C4C6A"/>
    <w:rsid w:val="004D0A84"/>
    <w:rsid w:val="004E0D9B"/>
    <w:rsid w:val="00515E34"/>
    <w:rsid w:val="00532045"/>
    <w:rsid w:val="00536E9E"/>
    <w:rsid w:val="00537B6A"/>
    <w:rsid w:val="0054119F"/>
    <w:rsid w:val="0056191E"/>
    <w:rsid w:val="00561D2A"/>
    <w:rsid w:val="00565024"/>
    <w:rsid w:val="005677F1"/>
    <w:rsid w:val="0057033E"/>
    <w:rsid w:val="005C756F"/>
    <w:rsid w:val="00600F35"/>
    <w:rsid w:val="00610707"/>
    <w:rsid w:val="00610C17"/>
    <w:rsid w:val="00616B9F"/>
    <w:rsid w:val="006247BA"/>
    <w:rsid w:val="00641170"/>
    <w:rsid w:val="006459FB"/>
    <w:rsid w:val="00670A60"/>
    <w:rsid w:val="00692A23"/>
    <w:rsid w:val="00694A0D"/>
    <w:rsid w:val="006D5AF5"/>
    <w:rsid w:val="006E25A5"/>
    <w:rsid w:val="006F2B2E"/>
    <w:rsid w:val="00722FCA"/>
    <w:rsid w:val="00733CD1"/>
    <w:rsid w:val="00735826"/>
    <w:rsid w:val="00742606"/>
    <w:rsid w:val="00742630"/>
    <w:rsid w:val="0075267D"/>
    <w:rsid w:val="0076161B"/>
    <w:rsid w:val="00772B64"/>
    <w:rsid w:val="007845E7"/>
    <w:rsid w:val="0079637C"/>
    <w:rsid w:val="007B37A1"/>
    <w:rsid w:val="00875B06"/>
    <w:rsid w:val="0088477D"/>
    <w:rsid w:val="008911F8"/>
    <w:rsid w:val="008A252F"/>
    <w:rsid w:val="008A3ACA"/>
    <w:rsid w:val="008A5ED5"/>
    <w:rsid w:val="008B0C56"/>
    <w:rsid w:val="008B0F09"/>
    <w:rsid w:val="008C795F"/>
    <w:rsid w:val="008D69D5"/>
    <w:rsid w:val="0092324D"/>
    <w:rsid w:val="0092405F"/>
    <w:rsid w:val="00947452"/>
    <w:rsid w:val="0095052A"/>
    <w:rsid w:val="0098047C"/>
    <w:rsid w:val="00994E08"/>
    <w:rsid w:val="009A4F25"/>
    <w:rsid w:val="009C0098"/>
    <w:rsid w:val="009C29B1"/>
    <w:rsid w:val="009D2456"/>
    <w:rsid w:val="009D61A8"/>
    <w:rsid w:val="009E13B9"/>
    <w:rsid w:val="00A3411B"/>
    <w:rsid w:val="00A60976"/>
    <w:rsid w:val="00A82BCE"/>
    <w:rsid w:val="00A9390C"/>
    <w:rsid w:val="00AD7B15"/>
    <w:rsid w:val="00AF3D46"/>
    <w:rsid w:val="00B3146D"/>
    <w:rsid w:val="00B3679B"/>
    <w:rsid w:val="00B41096"/>
    <w:rsid w:val="00B75E67"/>
    <w:rsid w:val="00B811F7"/>
    <w:rsid w:val="00B87BFF"/>
    <w:rsid w:val="00B930A8"/>
    <w:rsid w:val="00BA4BEF"/>
    <w:rsid w:val="00BB41E2"/>
    <w:rsid w:val="00BE18FC"/>
    <w:rsid w:val="00BE4732"/>
    <w:rsid w:val="00BF51D1"/>
    <w:rsid w:val="00BF55BE"/>
    <w:rsid w:val="00C328FF"/>
    <w:rsid w:val="00C477C2"/>
    <w:rsid w:val="00C479EE"/>
    <w:rsid w:val="00C54FBA"/>
    <w:rsid w:val="00C75025"/>
    <w:rsid w:val="00C80841"/>
    <w:rsid w:val="00CB46C2"/>
    <w:rsid w:val="00CB6EBD"/>
    <w:rsid w:val="00CB7C3F"/>
    <w:rsid w:val="00CF225D"/>
    <w:rsid w:val="00CF7541"/>
    <w:rsid w:val="00D04082"/>
    <w:rsid w:val="00D21A34"/>
    <w:rsid w:val="00D307E6"/>
    <w:rsid w:val="00D742B7"/>
    <w:rsid w:val="00D77F78"/>
    <w:rsid w:val="00D86C50"/>
    <w:rsid w:val="00D94BFD"/>
    <w:rsid w:val="00DA6608"/>
    <w:rsid w:val="00DD0A67"/>
    <w:rsid w:val="00DD772B"/>
    <w:rsid w:val="00DF1A76"/>
    <w:rsid w:val="00E05823"/>
    <w:rsid w:val="00E15CF0"/>
    <w:rsid w:val="00E21D5A"/>
    <w:rsid w:val="00E273DA"/>
    <w:rsid w:val="00E439D8"/>
    <w:rsid w:val="00E46545"/>
    <w:rsid w:val="00E52FC8"/>
    <w:rsid w:val="00E646F1"/>
    <w:rsid w:val="00E85F4C"/>
    <w:rsid w:val="00E903E3"/>
    <w:rsid w:val="00F05A33"/>
    <w:rsid w:val="00F05E41"/>
    <w:rsid w:val="00F444E6"/>
    <w:rsid w:val="00F5238D"/>
    <w:rsid w:val="00F54300"/>
    <w:rsid w:val="00F61A48"/>
    <w:rsid w:val="00F64EBB"/>
    <w:rsid w:val="00F95DAA"/>
    <w:rsid w:val="00FA346B"/>
    <w:rsid w:val="00FA48F9"/>
    <w:rsid w:val="00FB0ADE"/>
    <w:rsid w:val="00FC39B2"/>
    <w:rsid w:val="00FD4FE7"/>
    <w:rsid w:val="00FD7D02"/>
    <w:rsid w:val="02FC56B7"/>
    <w:rsid w:val="0310217C"/>
    <w:rsid w:val="034BDBEE"/>
    <w:rsid w:val="079C2353"/>
    <w:rsid w:val="07FB9E92"/>
    <w:rsid w:val="0AAC7B5E"/>
    <w:rsid w:val="0B185215"/>
    <w:rsid w:val="0E76BD38"/>
    <w:rsid w:val="0FC99BBD"/>
    <w:rsid w:val="11FA36A6"/>
    <w:rsid w:val="122F37DB"/>
    <w:rsid w:val="1451BA43"/>
    <w:rsid w:val="18F553D9"/>
    <w:rsid w:val="1995D95A"/>
    <w:rsid w:val="1AC4B58A"/>
    <w:rsid w:val="1C6085EB"/>
    <w:rsid w:val="22173989"/>
    <w:rsid w:val="233DDC77"/>
    <w:rsid w:val="26AE14D9"/>
    <w:rsid w:val="26F27653"/>
    <w:rsid w:val="2729FFCF"/>
    <w:rsid w:val="272A44B7"/>
    <w:rsid w:val="27548EB0"/>
    <w:rsid w:val="2793DFCE"/>
    <w:rsid w:val="2AEA4A98"/>
    <w:rsid w:val="3054E0F4"/>
    <w:rsid w:val="30DE375A"/>
    <w:rsid w:val="313DAF36"/>
    <w:rsid w:val="3298A0B3"/>
    <w:rsid w:val="32FA15CA"/>
    <w:rsid w:val="38E3CCFF"/>
    <w:rsid w:val="3DC60537"/>
    <w:rsid w:val="3EF27127"/>
    <w:rsid w:val="40214872"/>
    <w:rsid w:val="4145B57F"/>
    <w:rsid w:val="42E185E0"/>
    <w:rsid w:val="468CA732"/>
    <w:rsid w:val="47D7D21E"/>
    <w:rsid w:val="4A34FA20"/>
    <w:rsid w:val="4C9D65E7"/>
    <w:rsid w:val="4FF20BA9"/>
    <w:rsid w:val="4FF4A827"/>
    <w:rsid w:val="511FA40D"/>
    <w:rsid w:val="5286412B"/>
    <w:rsid w:val="52C60A7D"/>
    <w:rsid w:val="555417E1"/>
    <w:rsid w:val="55EED548"/>
    <w:rsid w:val="563818F7"/>
    <w:rsid w:val="5743C7A6"/>
    <w:rsid w:val="5B976801"/>
    <w:rsid w:val="5BCD8979"/>
    <w:rsid w:val="5C401D5C"/>
    <w:rsid w:val="5F394A76"/>
    <w:rsid w:val="6085B001"/>
    <w:rsid w:val="615F9E0C"/>
    <w:rsid w:val="621EC921"/>
    <w:rsid w:val="62B8CAE7"/>
    <w:rsid w:val="63BF19E7"/>
    <w:rsid w:val="642CCA0E"/>
    <w:rsid w:val="64B03A10"/>
    <w:rsid w:val="64B18E4D"/>
    <w:rsid w:val="67877528"/>
    <w:rsid w:val="6A5F9714"/>
    <w:rsid w:val="6A89A9D0"/>
    <w:rsid w:val="6B23129E"/>
    <w:rsid w:val="6B5D7041"/>
    <w:rsid w:val="6BFB6775"/>
    <w:rsid w:val="6C04B5C1"/>
    <w:rsid w:val="6D471451"/>
    <w:rsid w:val="6EA4020D"/>
    <w:rsid w:val="6F28EB10"/>
    <w:rsid w:val="73B4B95D"/>
    <w:rsid w:val="74375726"/>
    <w:rsid w:val="76586CC0"/>
    <w:rsid w:val="7BCE27C5"/>
    <w:rsid w:val="7E045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01D5C"/>
  <w15:chartTrackingRefBased/>
  <w15:docId w15:val="{986A0B7C-535C-422A-82EB-7458C2D2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D742B7"/>
    <w:rPr>
      <w:color w:val="605E5C"/>
      <w:shd w:val="clear" w:color="auto" w:fill="E1DFDD"/>
    </w:rPr>
  </w:style>
  <w:style w:type="paragraph" w:styleId="NormalWeb">
    <w:name w:val="Normal (Web)"/>
    <w:basedOn w:val="Normal"/>
    <w:uiPriority w:val="99"/>
    <w:semiHidden/>
    <w:unhideWhenUsed/>
    <w:rsid w:val="00FD7D02"/>
    <w:rPr>
      <w:rFonts w:ascii="Times New Roman" w:hAnsi="Times New Roman" w:cs="Times New Roman"/>
    </w:rPr>
  </w:style>
  <w:style w:type="paragraph" w:styleId="Revision">
    <w:name w:val="Revision"/>
    <w:hidden/>
    <w:uiPriority w:val="99"/>
    <w:semiHidden/>
    <w:rsid w:val="00E52F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lb.global/legal" TargetMode="External"/><Relationship Id="rId5" Type="http://schemas.openxmlformats.org/officeDocument/2006/relationships/styles" Target="styles.xml"/><Relationship Id="rId10" Type="http://schemas.openxmlformats.org/officeDocument/2006/relationships/hyperlink" Target="https://www.hlb.global/" TargetMode="External"/><Relationship Id="rId4" Type="http://schemas.openxmlformats.org/officeDocument/2006/relationships/numbering" Target="numbering.xml"/><Relationship Id="rId9" Type="http://schemas.openxmlformats.org/officeDocument/2006/relationships/hyperlink" Target="mailto:c.hager@hlb.glo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3EA96C2A3F864EA8DB310A93B635A8" ma:contentTypeVersion="21" ma:contentTypeDescription="Create a new document." ma:contentTypeScope="" ma:versionID="387d0d002d9e9c07be313a6ce927cb4c">
  <xsd:schema xmlns:xsd="http://www.w3.org/2001/XMLSchema" xmlns:xs="http://www.w3.org/2001/XMLSchema" xmlns:p="http://schemas.microsoft.com/office/2006/metadata/properties" xmlns:ns1="http://schemas.microsoft.com/sharepoint/v3" xmlns:ns2="99faf583-2c43-46c9-bca2-76a46fd8bb6b" xmlns:ns3="a42bea85-ddec-4832-9b65-bfb77eb0af11" targetNamespace="http://schemas.microsoft.com/office/2006/metadata/properties" ma:root="true" ma:fieldsID="119b3cd6aaa3d5dd040b207457dd0cb0" ns1:_="" ns2:_="" ns3:_="">
    <xsd:import namespace="http://schemas.microsoft.com/sharepoint/v3"/>
    <xsd:import namespace="99faf583-2c43-46c9-bca2-76a46fd8bb6b"/>
    <xsd:import namespace="a42bea85-ddec-4832-9b65-bfb77eb0af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af583-2c43-46c9-bca2-76a46fd8b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0cd4a21-a48c-4216-be95-cdf4e3184c5f"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2bea85-ddec-4832-9b65-bfb77eb0af1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2b29908-6c5c-4de5-aa52-6ebc2ff899c8}" ma:internalName="TaxCatchAll" ma:showField="CatchAllData" ma:web="a42bea85-ddec-4832-9b65-bfb77eb0af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faf583-2c43-46c9-bca2-76a46fd8bb6b">
      <Terms xmlns="http://schemas.microsoft.com/office/infopath/2007/PartnerControls"/>
    </lcf76f155ced4ddcb4097134ff3c332f>
    <TaxCatchAll xmlns="a42bea85-ddec-4832-9b65-bfb77eb0af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FE0AEA-AF4D-401E-BE18-33527DBB3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faf583-2c43-46c9-bca2-76a46fd8bb6b"/>
    <ds:schemaRef ds:uri="a42bea85-ddec-4832-9b65-bfb77eb0a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889459-7267-4357-91DB-EB959DAB272E}">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elements/1.1/"/>
    <ds:schemaRef ds:uri="http://schemas.microsoft.com/sharepoint/v3"/>
    <ds:schemaRef ds:uri="http://www.w3.org/XML/1998/namespace"/>
    <ds:schemaRef ds:uri="a42bea85-ddec-4832-9b65-bfb77eb0af11"/>
    <ds:schemaRef ds:uri="http://schemas.microsoft.com/office/infopath/2007/PartnerControls"/>
    <ds:schemaRef ds:uri="99faf583-2c43-46c9-bca2-76a46fd8bb6b"/>
    <ds:schemaRef ds:uri="http://purl.org/dc/dcmitype/"/>
  </ds:schemaRefs>
</ds:datastoreItem>
</file>

<file path=customXml/itemProps3.xml><?xml version="1.0" encoding="utf-8"?>
<ds:datastoreItem xmlns:ds="http://schemas.openxmlformats.org/officeDocument/2006/customXml" ds:itemID="{22AB23AC-DBCA-4EA9-B32B-38557305F4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4112</Characters>
  <Application>Microsoft Office Word</Application>
  <DocSecurity>0</DocSecurity>
  <Lines>93</Lines>
  <Paragraphs>41</Paragraphs>
  <ScaleCrop>false</ScaleCrop>
  <Company/>
  <LinksUpToDate>false</LinksUpToDate>
  <CharactersWithSpaces>4751</CharactersWithSpaces>
  <SharedDoc>false</SharedDoc>
  <HLinks>
    <vt:vector size="24" baseType="variant">
      <vt:variant>
        <vt:i4>6422631</vt:i4>
      </vt:variant>
      <vt:variant>
        <vt:i4>9</vt:i4>
      </vt:variant>
      <vt:variant>
        <vt:i4>0</vt:i4>
      </vt:variant>
      <vt:variant>
        <vt:i4>5</vt:i4>
      </vt:variant>
      <vt:variant>
        <vt:lpwstr>https://www.hlb.global/wp-content/uploads/2024/09/HLB-Press-release-template-2024-4.pdf</vt:lpwstr>
      </vt:variant>
      <vt:variant>
        <vt:lpwstr/>
      </vt:variant>
      <vt:variant>
        <vt:i4>983048</vt:i4>
      </vt:variant>
      <vt:variant>
        <vt:i4>6</vt:i4>
      </vt:variant>
      <vt:variant>
        <vt:i4>0</vt:i4>
      </vt:variant>
      <vt:variant>
        <vt:i4>5</vt:i4>
      </vt:variant>
      <vt:variant>
        <vt:lpwstr>https://www.hlb.global/legal</vt:lpwstr>
      </vt:variant>
      <vt:variant>
        <vt:lpwstr/>
      </vt:variant>
      <vt:variant>
        <vt:i4>6815779</vt:i4>
      </vt:variant>
      <vt:variant>
        <vt:i4>3</vt:i4>
      </vt:variant>
      <vt:variant>
        <vt:i4>0</vt:i4>
      </vt:variant>
      <vt:variant>
        <vt:i4>5</vt:i4>
      </vt:variant>
      <vt:variant>
        <vt:lpwstr>https://www.hlb.global/</vt:lpwstr>
      </vt:variant>
      <vt:variant>
        <vt:lpwstr/>
      </vt:variant>
      <vt:variant>
        <vt:i4>2031724</vt:i4>
      </vt:variant>
      <vt:variant>
        <vt:i4>0</vt:i4>
      </vt:variant>
      <vt:variant>
        <vt:i4>0</vt:i4>
      </vt:variant>
      <vt:variant>
        <vt:i4>5</vt:i4>
      </vt:variant>
      <vt:variant>
        <vt:lpwstr>mailto:c.hager@hlb.global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Malik</dc:creator>
  <cp:keywords/>
  <dc:description/>
  <cp:lastModifiedBy>Callahan Hager</cp:lastModifiedBy>
  <cp:revision>2</cp:revision>
  <cp:lastPrinted>2025-08-11T00:47:00Z</cp:lastPrinted>
  <dcterms:created xsi:type="dcterms:W3CDTF">2025-11-24T11:05:00Z</dcterms:created>
  <dcterms:modified xsi:type="dcterms:W3CDTF">2025-11-24T11:05:00Z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0x010100763EA96C2A3F864EA8DB310A93B635A8</vt:lpwstr>
  </property>
  <property fmtid="{D5CDD505-2E9C-101B-9397-08002B2CF9AE}" pid="3" name="MediaServiceImageTags">
    <vt:lpwstr/>
  </property>
  <property fmtid="{D5CDD505-2E9C-101B-9397-08002B2CF9AE}" pid="4" name="GrammarlyDocumentId">
    <vt:lpwstr>951dc78a-4f14-48cc-86d0-c6ae83abc231</vt:lpwstr>
  </property>
  <property fmtid="{D5CDD505-2E9C-101B-9397-08002B2CF9AE}" pid="5" name="docLang">
    <vt:lpwstr>en</vt:lpwstr>
  </property>
</Properties>
</file>